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2" w:rsidRPr="00850242" w:rsidRDefault="00850242" w:rsidP="00850242">
      <w:pPr>
        <w:ind w:left="-1134" w:firstLine="28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Карта плотности населения России</w:t>
      </w:r>
    </w:p>
    <w:p w:rsidR="00233162" w:rsidRDefault="00850242" w:rsidP="00850242">
      <w:pPr>
        <w:ind w:left="-1134" w:firstLine="283"/>
      </w:pPr>
      <w:r>
        <w:rPr>
          <w:noProof/>
          <w:lang w:eastAsia="ru-RU"/>
        </w:rPr>
        <w:drawing>
          <wp:inline distT="0" distB="0" distL="0" distR="0">
            <wp:extent cx="6362700" cy="3857387"/>
            <wp:effectExtent l="19050" t="0" r="0" b="0"/>
            <wp:docPr id="1" name="Рисунок 1" descr="E:\документы Оксана\документы Оксана\9 кл\Домогацких\Население\ПР 3\Пр 3 Население для учащихся\карта плотности насе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Оксана\документы Оксана\9 кл\Домогацких\Население\ПР 3\Пр 3 Население для учащихся\карта плотности населе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49" cy="38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42" w:rsidRDefault="00850242" w:rsidP="00850242">
      <w:pPr>
        <w:spacing w:after="0" w:line="240" w:lineRule="auto"/>
        <w:ind w:left="-1134" w:firstLine="284"/>
        <w:rPr>
          <w:rFonts w:ascii="Times New Roman" w:hAnsi="Times New Roman" w:cs="Times New Roman"/>
          <w:b/>
          <w:sz w:val="24"/>
          <w:szCs w:val="24"/>
        </w:rPr>
      </w:pPr>
      <w:r w:rsidRPr="00850242">
        <w:rPr>
          <w:rFonts w:ascii="Times New Roman" w:hAnsi="Times New Roman" w:cs="Times New Roman"/>
          <w:b/>
          <w:sz w:val="24"/>
          <w:szCs w:val="24"/>
        </w:rPr>
        <w:t>Задание по карте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0242" w:rsidRDefault="005D10D5" w:rsidP="00850242">
      <w:pPr>
        <w:spacing w:after="0" w:line="240" w:lineRule="auto"/>
        <w:ind w:left="-113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Используя карты:</w:t>
      </w:r>
      <w:r w:rsidR="008502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="00850242">
        <w:rPr>
          <w:rFonts w:ascii="Times New Roman" w:hAnsi="Times New Roman" w:cs="Times New Roman"/>
          <w:b/>
          <w:sz w:val="24"/>
          <w:szCs w:val="24"/>
        </w:rPr>
        <w:t>лотности населения</w:t>
      </w:r>
      <w:r w:rsidR="00710368">
        <w:rPr>
          <w:rFonts w:ascii="Times New Roman" w:hAnsi="Times New Roman" w:cs="Times New Roman"/>
          <w:b/>
          <w:sz w:val="24"/>
          <w:szCs w:val="24"/>
        </w:rPr>
        <w:t>» и «Административная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72038">
        <w:rPr>
          <w:rFonts w:ascii="Times New Roman" w:hAnsi="Times New Roman" w:cs="Times New Roman"/>
          <w:b/>
          <w:sz w:val="24"/>
          <w:szCs w:val="24"/>
        </w:rPr>
        <w:t xml:space="preserve"> в Атласе</w:t>
      </w:r>
      <w:r w:rsidR="00850242">
        <w:rPr>
          <w:rFonts w:ascii="Times New Roman" w:hAnsi="Times New Roman" w:cs="Times New Roman"/>
          <w:b/>
          <w:sz w:val="24"/>
          <w:szCs w:val="24"/>
        </w:rPr>
        <w:t>, заполните таблицу, сделайте вывод и объясните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такое размещение</w:t>
      </w:r>
      <w:r w:rsidR="00850242">
        <w:rPr>
          <w:rFonts w:ascii="Times New Roman" w:hAnsi="Times New Roman" w:cs="Times New Roman"/>
          <w:b/>
          <w:sz w:val="24"/>
          <w:szCs w:val="24"/>
        </w:rPr>
        <w:t>.</w:t>
      </w:r>
      <w:r w:rsidR="00C603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42" w:rsidRDefault="00850242" w:rsidP="00850242">
      <w:pPr>
        <w:spacing w:after="0" w:line="240" w:lineRule="auto"/>
        <w:ind w:left="-1134"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34" w:type="dxa"/>
        <w:tblLook w:val="04A0"/>
      </w:tblPr>
      <w:tblGrid>
        <w:gridCol w:w="2415"/>
        <w:gridCol w:w="2869"/>
        <w:gridCol w:w="2719"/>
        <w:gridCol w:w="2702"/>
      </w:tblGrid>
      <w:tr w:rsidR="00244506" w:rsidTr="00987B80">
        <w:tc>
          <w:tcPr>
            <w:tcW w:w="2415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6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район</w:t>
            </w: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Плотность,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чел\кв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РФ</w:t>
            </w:r>
          </w:p>
        </w:tc>
      </w:tr>
      <w:tr w:rsidR="00244506" w:rsidTr="00987B80">
        <w:trPr>
          <w:trHeight w:val="255"/>
        </w:trPr>
        <w:tc>
          <w:tcPr>
            <w:tcW w:w="2415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9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экономический район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244506" w:rsidTr="00987B80">
        <w:trPr>
          <w:trHeight w:val="285"/>
        </w:trPr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244506" w:rsidTr="00987B80">
        <w:trPr>
          <w:trHeight w:val="285"/>
        </w:trPr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Брянская область</w:t>
            </w:r>
          </w:p>
        </w:tc>
      </w:tr>
      <w:tr w:rsidR="00244506" w:rsidTr="00987B80">
        <w:trPr>
          <w:trHeight w:val="285"/>
        </w:trPr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</w:tr>
      <w:tr w:rsidR="00244506" w:rsidTr="00987B80">
        <w:trPr>
          <w:trHeight w:val="285"/>
        </w:trPr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244506" w:rsidTr="00987B80">
        <w:trPr>
          <w:trHeight w:val="285"/>
        </w:trPr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Смоленская область</w:t>
            </w:r>
          </w:p>
        </w:tc>
      </w:tr>
      <w:tr w:rsidR="00244506" w:rsidTr="00987B80">
        <w:tc>
          <w:tcPr>
            <w:tcW w:w="2415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9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</w:t>
            </w: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Ненецкий автономный округ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Коми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244506" w:rsidTr="00987B80">
        <w:tc>
          <w:tcPr>
            <w:tcW w:w="2415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9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Кавказский</w:t>
            </w: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Дагестан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Чеченская республика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Осетия-Алания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Кабардино-Балкарская республика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244506" w:rsidTr="00987B80">
        <w:tc>
          <w:tcPr>
            <w:tcW w:w="2415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9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Поволжский</w:t>
            </w: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Калмыкия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</w:t>
            </w:r>
          </w:p>
        </w:tc>
      </w:tr>
      <w:tr w:rsidR="00244506" w:rsidTr="00987B80">
        <w:tc>
          <w:tcPr>
            <w:tcW w:w="2415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область</w:t>
            </w:r>
          </w:p>
        </w:tc>
      </w:tr>
      <w:tr w:rsidR="00244506" w:rsidTr="00987B80">
        <w:tc>
          <w:tcPr>
            <w:tcW w:w="2415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9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</w:t>
            </w: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 край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край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Магаданская область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</w:tr>
      <w:tr w:rsidR="00244506" w:rsidTr="00987B80">
        <w:tc>
          <w:tcPr>
            <w:tcW w:w="2415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9" w:type="dxa"/>
            <w:vMerge w:val="restart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Восточно-Сибирский</w:t>
            </w:r>
            <w:proofErr w:type="spellEnd"/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край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</w:tr>
      <w:tr w:rsidR="00244506" w:rsidTr="00987B80">
        <w:tc>
          <w:tcPr>
            <w:tcW w:w="2415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</w:tcPr>
          <w:p w:rsidR="00244506" w:rsidRDefault="00244506" w:rsidP="0098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область</w:t>
            </w:r>
          </w:p>
        </w:tc>
      </w:tr>
    </w:tbl>
    <w:p w:rsidR="00244506" w:rsidRDefault="00244506" w:rsidP="00850242">
      <w:pPr>
        <w:spacing w:after="0" w:line="240" w:lineRule="auto"/>
        <w:ind w:left="-1134" w:firstLine="284"/>
        <w:rPr>
          <w:rFonts w:ascii="Times New Roman" w:hAnsi="Times New Roman" w:cs="Times New Roman"/>
          <w:b/>
          <w:sz w:val="24"/>
          <w:szCs w:val="24"/>
        </w:rPr>
      </w:pPr>
    </w:p>
    <w:p w:rsidR="00FF63C1" w:rsidRDefault="00FF63C1" w:rsidP="00850242">
      <w:pPr>
        <w:spacing w:after="0" w:line="240" w:lineRule="auto"/>
        <w:ind w:left="-1134" w:firstLine="284"/>
        <w:rPr>
          <w:rFonts w:ascii="Times New Roman" w:hAnsi="Times New Roman" w:cs="Times New Roman"/>
          <w:sz w:val="24"/>
          <w:szCs w:val="24"/>
        </w:rPr>
      </w:pPr>
      <w:r w:rsidRPr="00FF63C1">
        <w:rPr>
          <w:rFonts w:ascii="Times New Roman" w:hAnsi="Times New Roman" w:cs="Times New Roman"/>
          <w:b/>
          <w:sz w:val="24"/>
          <w:szCs w:val="24"/>
        </w:rPr>
        <w:t>Каждая группа должна ответить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3C1" w:rsidRDefault="00FF63C1" w:rsidP="00850242">
      <w:pPr>
        <w:spacing w:after="0" w:line="240" w:lineRule="auto"/>
        <w:ind w:left="-113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целом по вашему экономическому району низкая, средняя или высокая плотность размещения населения.</w:t>
      </w:r>
    </w:p>
    <w:p w:rsidR="00FF63C1" w:rsidRDefault="00FF63C1" w:rsidP="00850242">
      <w:pPr>
        <w:spacing w:after="0" w:line="240" w:lineRule="auto"/>
        <w:ind w:left="-113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субъекты РФ выделяются относительно высокой плотностью населения? </w:t>
      </w:r>
      <w:r w:rsidR="00244506">
        <w:rPr>
          <w:rFonts w:ascii="Times New Roman" w:hAnsi="Times New Roman" w:cs="Times New Roman"/>
          <w:sz w:val="24"/>
          <w:szCs w:val="24"/>
        </w:rPr>
        <w:t>(если можно выделить)</w:t>
      </w:r>
    </w:p>
    <w:p w:rsidR="00FF63C1" w:rsidRDefault="00FF63C1" w:rsidP="00850242">
      <w:pPr>
        <w:spacing w:after="0" w:line="240" w:lineRule="auto"/>
        <w:ind w:left="-113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субъекты выделяются наиболее низкой плотностью размещения?</w:t>
      </w:r>
    </w:p>
    <w:p w:rsidR="00FF63C1" w:rsidRDefault="00FF63C1" w:rsidP="00850242">
      <w:pPr>
        <w:spacing w:after="0" w:line="240" w:lineRule="auto"/>
        <w:ind w:left="-113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Попробуйте объяснить, причины такой плотности размещения населения.</w:t>
      </w:r>
      <w:r w:rsidR="00244506">
        <w:rPr>
          <w:rFonts w:ascii="Times New Roman" w:hAnsi="Times New Roman" w:cs="Times New Roman"/>
          <w:sz w:val="24"/>
          <w:szCs w:val="24"/>
        </w:rPr>
        <w:t xml:space="preserve"> (</w:t>
      </w:r>
      <w:r w:rsidR="00244506">
        <w:rPr>
          <w:rFonts w:ascii="Times New Roman" w:hAnsi="Times New Roman" w:cs="Times New Roman"/>
          <w:i/>
          <w:sz w:val="24"/>
          <w:szCs w:val="24"/>
        </w:rPr>
        <w:t>Можно использовать помощь</w:t>
      </w:r>
      <w:r w:rsidR="00244506">
        <w:rPr>
          <w:rFonts w:ascii="Times New Roman" w:hAnsi="Times New Roman" w:cs="Times New Roman"/>
          <w:sz w:val="24"/>
          <w:szCs w:val="24"/>
        </w:rPr>
        <w:t>)</w:t>
      </w:r>
    </w:p>
    <w:p w:rsidR="00FF63C1" w:rsidRDefault="00FF63C1" w:rsidP="00850242">
      <w:pPr>
        <w:spacing w:after="0" w:line="240" w:lineRule="auto"/>
        <w:ind w:left="-1134" w:firstLine="284"/>
        <w:rPr>
          <w:rFonts w:ascii="Times New Roman" w:hAnsi="Times New Roman" w:cs="Times New Roman"/>
          <w:sz w:val="24"/>
          <w:szCs w:val="24"/>
        </w:rPr>
      </w:pPr>
    </w:p>
    <w:p w:rsidR="00244506" w:rsidRDefault="00244506" w:rsidP="00850242">
      <w:pPr>
        <w:spacing w:after="0" w:line="240" w:lineRule="auto"/>
        <w:ind w:left="-1134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244506" w:rsidRDefault="00244506" w:rsidP="00850242">
      <w:pPr>
        <w:spacing w:after="0" w:line="240" w:lineRule="auto"/>
        <w:ind w:left="-1134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F63C1" w:rsidRDefault="00FF63C1" w:rsidP="00850242">
      <w:pPr>
        <w:spacing w:after="0" w:line="240" w:lineRule="auto"/>
        <w:ind w:left="-113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F63C1">
        <w:rPr>
          <w:rFonts w:ascii="Times New Roman" w:hAnsi="Times New Roman" w:cs="Times New Roman"/>
          <w:b/>
          <w:i/>
          <w:sz w:val="24"/>
          <w:szCs w:val="24"/>
        </w:rPr>
        <w:t>Помощь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(можно использовать при ответе данные слова и выражения)</w:t>
      </w:r>
      <w:r w:rsidRPr="00FF63C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F63C1" w:rsidRPr="00244506" w:rsidRDefault="00FF63C1" w:rsidP="00850242">
      <w:pPr>
        <w:spacing w:after="0" w:line="240" w:lineRule="auto"/>
        <w:ind w:left="-1134" w:firstLine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4506">
        <w:rPr>
          <w:rFonts w:ascii="Times New Roman" w:hAnsi="Times New Roman" w:cs="Times New Roman"/>
          <w:i/>
          <w:sz w:val="24"/>
          <w:szCs w:val="24"/>
        </w:rPr>
        <w:t>Основная полоса расселения, зона Севера, благоприятные климатические условия, неблагоприятные климатические условия, низкие температуры, многолетняя мерзлота, проживание в основном в долинах рек, про</w:t>
      </w:r>
      <w:r w:rsidR="00244506" w:rsidRPr="00244506">
        <w:rPr>
          <w:rFonts w:ascii="Times New Roman" w:hAnsi="Times New Roman" w:cs="Times New Roman"/>
          <w:i/>
          <w:sz w:val="24"/>
          <w:szCs w:val="24"/>
        </w:rPr>
        <w:t>живание в основном в районах осв</w:t>
      </w:r>
      <w:r w:rsidRPr="00244506">
        <w:rPr>
          <w:rFonts w:ascii="Times New Roman" w:hAnsi="Times New Roman" w:cs="Times New Roman"/>
          <w:i/>
          <w:sz w:val="24"/>
          <w:szCs w:val="24"/>
        </w:rPr>
        <w:t>оения крупных месторождений полезных ископаемых, размещение вдоль транспортных магистралей</w:t>
      </w:r>
      <w:r w:rsidR="00244506" w:rsidRPr="00244506">
        <w:rPr>
          <w:rFonts w:ascii="Times New Roman" w:hAnsi="Times New Roman" w:cs="Times New Roman"/>
          <w:i/>
          <w:sz w:val="24"/>
          <w:szCs w:val="24"/>
        </w:rPr>
        <w:t xml:space="preserve">, горный рельеф, равнинный рельеф, увеличение суровости  климата, почвенные условия благоприятны, </w:t>
      </w:r>
      <w:r w:rsidR="00244506">
        <w:rPr>
          <w:rFonts w:ascii="Times New Roman" w:hAnsi="Times New Roman" w:cs="Times New Roman"/>
          <w:i/>
          <w:sz w:val="24"/>
          <w:szCs w:val="24"/>
        </w:rPr>
        <w:t>условия благоприятны (неблагоприятны) для ведения сельского хозяйства, размещение пустынь, самые засушливые территории России, расположены пустыни.</w:t>
      </w:r>
      <w:r w:rsidRPr="00244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sectPr w:rsidR="00FF63C1" w:rsidRPr="00244506" w:rsidSect="00B74CA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42"/>
    <w:rsid w:val="0021542D"/>
    <w:rsid w:val="00244506"/>
    <w:rsid w:val="00396D77"/>
    <w:rsid w:val="003C0943"/>
    <w:rsid w:val="004128FD"/>
    <w:rsid w:val="00491809"/>
    <w:rsid w:val="005D10D5"/>
    <w:rsid w:val="005E7AD3"/>
    <w:rsid w:val="00710368"/>
    <w:rsid w:val="007D1CDF"/>
    <w:rsid w:val="00850242"/>
    <w:rsid w:val="00872038"/>
    <w:rsid w:val="00887713"/>
    <w:rsid w:val="008C60C1"/>
    <w:rsid w:val="009F311D"/>
    <w:rsid w:val="00B74CA5"/>
    <w:rsid w:val="00C60356"/>
    <w:rsid w:val="00E24728"/>
    <w:rsid w:val="00E32B4F"/>
    <w:rsid w:val="00E85611"/>
    <w:rsid w:val="00EC5172"/>
    <w:rsid w:val="00F82A9B"/>
    <w:rsid w:val="00F95A27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ЧурляевЮА</cp:lastModifiedBy>
  <cp:revision>3</cp:revision>
  <dcterms:created xsi:type="dcterms:W3CDTF">2019-02-08T11:26:00Z</dcterms:created>
  <dcterms:modified xsi:type="dcterms:W3CDTF">2019-02-08T11:27:00Z</dcterms:modified>
</cp:coreProperties>
</file>