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5</w:t>
      </w:r>
      <w:r w:rsidRPr="008A27FE">
        <w:rPr>
          <w:rFonts w:ascii="Times New Roman" w:hAnsi="Times New Roman"/>
          <w:b/>
          <w:sz w:val="24"/>
          <w:szCs w:val="24"/>
        </w:rPr>
        <w:t>. Ориентирование на местности по компасу и местным предметам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A27FE">
        <w:rPr>
          <w:rFonts w:ascii="Times New Roman" w:hAnsi="Times New Roman"/>
          <w:b/>
          <w:sz w:val="24"/>
          <w:szCs w:val="24"/>
        </w:rPr>
        <w:t>Цель урока:</w:t>
      </w:r>
      <w:r w:rsidRPr="008A27FE">
        <w:rPr>
          <w:rFonts w:ascii="Times New Roman" w:hAnsi="Times New Roman"/>
          <w:sz w:val="24"/>
          <w:szCs w:val="24"/>
        </w:rPr>
        <w:t xml:space="preserve"> познакомить учащихся с ориентированием на местности по разным объектам»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8A27FE">
        <w:rPr>
          <w:rFonts w:ascii="Times New Roman" w:hAnsi="Times New Roman"/>
          <w:b/>
          <w:iCs/>
          <w:sz w:val="24"/>
          <w:szCs w:val="24"/>
        </w:rPr>
        <w:t xml:space="preserve">Задачи: 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A27FE">
        <w:rPr>
          <w:rFonts w:ascii="Times New Roman" w:hAnsi="Times New Roman"/>
          <w:i/>
          <w:iCs/>
          <w:sz w:val="24"/>
          <w:szCs w:val="24"/>
        </w:rPr>
        <w:t>Обучающие:</w:t>
      </w:r>
      <w:r w:rsidRPr="008A27FE">
        <w:rPr>
          <w:rFonts w:ascii="Times New Roman" w:hAnsi="Times New Roman"/>
          <w:sz w:val="24"/>
          <w:szCs w:val="24"/>
        </w:rPr>
        <w:t xml:space="preserve"> создать условия для формирования представлений о способах ориентирования на местности: по местным признакам и по азимуту;  формировать умения в определении сторон горизонта и направлений на карте и по местным признакам. 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A27FE">
        <w:rPr>
          <w:rFonts w:ascii="Times New Roman" w:hAnsi="Times New Roman"/>
          <w:i/>
          <w:iCs/>
          <w:sz w:val="24"/>
          <w:szCs w:val="24"/>
        </w:rPr>
        <w:t>Развивающие:</w:t>
      </w:r>
      <w:r w:rsidRPr="008A27FE">
        <w:rPr>
          <w:rFonts w:ascii="Times New Roman" w:hAnsi="Times New Roman"/>
          <w:sz w:val="24"/>
          <w:szCs w:val="24"/>
        </w:rPr>
        <w:t xml:space="preserve"> создать условия для развития пространственных представлений, логического мышления, коммуникативных способностей; продолжить работу над развитием интеллектуальных умений и навыков: выделение главного, анализ, умение делать выводы; умением устанавливать причинно-следственные связи; продолжить работу над развитием устной монологической речи; создать условия для развития творческих способностей.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A27FE">
        <w:rPr>
          <w:rFonts w:ascii="Times New Roman" w:hAnsi="Times New Roman"/>
          <w:i/>
          <w:iCs/>
          <w:sz w:val="24"/>
          <w:szCs w:val="24"/>
        </w:rPr>
        <w:t>Воспитательные:</w:t>
      </w:r>
      <w:r w:rsidRPr="008A27FE">
        <w:rPr>
          <w:rFonts w:ascii="Times New Roman" w:hAnsi="Times New Roman"/>
          <w:sz w:val="24"/>
          <w:szCs w:val="24"/>
        </w:rPr>
        <w:t xml:space="preserve"> способствовать воспитанию интереса к предмету, взаимопонимания и сплочённости в совместной деятельности; способствовать воспитанию у учащихся умения слушать товарищей, аргументировать свою точку зрения; 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A27FE">
        <w:rPr>
          <w:rFonts w:ascii="Times New Roman" w:hAnsi="Times New Roman"/>
          <w:i/>
          <w:iCs/>
          <w:sz w:val="24"/>
          <w:szCs w:val="24"/>
        </w:rPr>
        <w:t>Оборудование и оснащение урока: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A27FE">
        <w:rPr>
          <w:rFonts w:ascii="Times New Roman" w:hAnsi="Times New Roman"/>
          <w:i/>
          <w:iCs/>
          <w:sz w:val="24"/>
          <w:szCs w:val="24"/>
          <w:u w:val="single"/>
        </w:rPr>
        <w:t xml:space="preserve">Технические </w:t>
      </w:r>
      <w:proofErr w:type="gramStart"/>
      <w:r w:rsidRPr="008A27FE">
        <w:rPr>
          <w:rFonts w:ascii="Times New Roman" w:hAnsi="Times New Roman"/>
          <w:i/>
          <w:iCs/>
          <w:sz w:val="24"/>
          <w:szCs w:val="24"/>
          <w:u w:val="single"/>
        </w:rPr>
        <w:t>СО</w:t>
      </w:r>
      <w:proofErr w:type="gramEnd"/>
      <w:r w:rsidRPr="008A27FE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7FE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8A27FE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8A27FE">
        <w:rPr>
          <w:rFonts w:ascii="Times New Roman" w:hAnsi="Times New Roman"/>
          <w:sz w:val="24"/>
          <w:szCs w:val="24"/>
        </w:rPr>
        <w:t xml:space="preserve"> оборудование, экран;</w:t>
      </w:r>
    </w:p>
    <w:p w:rsidR="00E3640B" w:rsidRPr="008A27FE" w:rsidRDefault="00E3640B" w:rsidP="00E3640B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A27FE">
        <w:rPr>
          <w:rFonts w:ascii="Times New Roman" w:hAnsi="Times New Roman"/>
          <w:i/>
          <w:iCs/>
          <w:sz w:val="24"/>
          <w:szCs w:val="24"/>
          <w:u w:val="single"/>
        </w:rPr>
        <w:t xml:space="preserve">Учебно-информационные </w:t>
      </w:r>
      <w:proofErr w:type="gramStart"/>
      <w:r w:rsidRPr="008A27FE">
        <w:rPr>
          <w:rFonts w:ascii="Times New Roman" w:hAnsi="Times New Roman"/>
          <w:i/>
          <w:iCs/>
          <w:sz w:val="24"/>
          <w:szCs w:val="24"/>
          <w:u w:val="single"/>
        </w:rPr>
        <w:t>СО</w:t>
      </w:r>
      <w:proofErr w:type="gramEnd"/>
      <w:r w:rsidRPr="008A27FE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8A27FE">
        <w:rPr>
          <w:rFonts w:ascii="Times New Roman" w:hAnsi="Times New Roman"/>
          <w:sz w:val="24"/>
          <w:szCs w:val="24"/>
        </w:rPr>
        <w:t xml:space="preserve"> карточки-задания для групповой практической работы-игры движения по азимуту; презентация урока. </w:t>
      </w:r>
    </w:p>
    <w:p w:rsidR="00E3640B" w:rsidRDefault="00E3640B" w:rsidP="00E3640B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56C7A">
        <w:rPr>
          <w:rFonts w:ascii="Times New Roman" w:hAnsi="Times New Roman"/>
          <w:b/>
          <w:sz w:val="24"/>
          <w:szCs w:val="24"/>
        </w:rPr>
        <w:t>Ход урока</w:t>
      </w:r>
    </w:p>
    <w:p w:rsidR="00E3640B" w:rsidRDefault="00E3640B" w:rsidP="00E3640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387"/>
        <w:gridCol w:w="1559"/>
        <w:gridCol w:w="851"/>
        <w:gridCol w:w="992"/>
        <w:gridCol w:w="1241"/>
      </w:tblGrid>
      <w:tr w:rsidR="00E3640B" w:rsidTr="008A2E8B">
        <w:tc>
          <w:tcPr>
            <w:tcW w:w="6946" w:type="dxa"/>
            <w:gridSpan w:val="2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gridSpan w:val="2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41" w:type="dxa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Формирование ОУУН</w:t>
            </w:r>
          </w:p>
        </w:tc>
      </w:tr>
      <w:tr w:rsidR="00E3640B" w:rsidTr="008A2E8B">
        <w:tc>
          <w:tcPr>
            <w:tcW w:w="6946" w:type="dxa"/>
            <w:gridSpan w:val="2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b/>
                <w:bCs/>
                <w:sz w:val="24"/>
                <w:szCs w:val="24"/>
              </w:rPr>
              <w:t>1. Организационный этап</w:t>
            </w:r>
          </w:p>
        </w:tc>
        <w:tc>
          <w:tcPr>
            <w:tcW w:w="1843" w:type="dxa"/>
            <w:gridSpan w:val="2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40B" w:rsidTr="008A2E8B">
        <w:tc>
          <w:tcPr>
            <w:tcW w:w="6946" w:type="dxa"/>
            <w:gridSpan w:val="2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Приветствие учащихся, пожелания в удачной совместной деятельности.</w:t>
            </w:r>
          </w:p>
        </w:tc>
        <w:tc>
          <w:tcPr>
            <w:tcW w:w="1843" w:type="dxa"/>
            <w:gridSpan w:val="2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</w:tc>
        <w:tc>
          <w:tcPr>
            <w:tcW w:w="1241" w:type="dxa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40B" w:rsidTr="008A2E8B">
        <w:tc>
          <w:tcPr>
            <w:tcW w:w="10030" w:type="dxa"/>
            <w:gridSpan w:val="5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b/>
                <w:bCs/>
                <w:sz w:val="24"/>
                <w:szCs w:val="24"/>
              </w:rPr>
              <w:t>2. Этап проверки домашнего задания.</w:t>
            </w:r>
          </w:p>
        </w:tc>
      </w:tr>
      <w:tr w:rsidR="00E3640B" w:rsidTr="008A2E8B">
        <w:tc>
          <w:tcPr>
            <w:tcW w:w="10030" w:type="dxa"/>
            <w:gridSpan w:val="5"/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b/>
                <w:bCs/>
                <w:sz w:val="24"/>
                <w:szCs w:val="24"/>
              </w:rPr>
              <w:t>3. Этап актуализации субъектного опыта учащихся</w:t>
            </w:r>
          </w:p>
        </w:tc>
      </w:tr>
      <w:tr w:rsidR="00E3640B" w:rsidTr="008A2E8B">
        <w:tc>
          <w:tcPr>
            <w:tcW w:w="10030" w:type="dxa"/>
            <w:gridSpan w:val="5"/>
          </w:tcPr>
          <w:p w:rsidR="00E3640B" w:rsidRPr="002D67EC" w:rsidRDefault="00E3640B" w:rsidP="008A2E8B">
            <w:pPr>
              <w:pStyle w:val="a3"/>
              <w:rPr>
                <w:i/>
                <w:iCs/>
                <w:sz w:val="24"/>
                <w:szCs w:val="24"/>
              </w:rPr>
            </w:pPr>
            <w:r w:rsidRPr="002D67EC">
              <w:rPr>
                <w:i/>
                <w:iCs/>
                <w:sz w:val="24"/>
                <w:szCs w:val="24"/>
              </w:rPr>
              <w:t xml:space="preserve">Содержание этапа учебного занятия: </w:t>
            </w:r>
          </w:p>
          <w:p w:rsidR="00E3640B" w:rsidRPr="002D67EC" w:rsidRDefault="00E3640B" w:rsidP="008A2E8B">
            <w:pPr>
              <w:pStyle w:val="a3"/>
              <w:rPr>
                <w:i/>
                <w:iCs/>
                <w:sz w:val="24"/>
                <w:szCs w:val="24"/>
              </w:rPr>
            </w:pPr>
            <w:r w:rsidRPr="002D67EC">
              <w:rPr>
                <w:i/>
                <w:iCs/>
                <w:sz w:val="24"/>
                <w:szCs w:val="24"/>
              </w:rPr>
              <w:t xml:space="preserve">Сообщение темы учебного занятия. </w:t>
            </w:r>
          </w:p>
          <w:p w:rsidR="00E3640B" w:rsidRPr="002D67EC" w:rsidRDefault="00E3640B" w:rsidP="008A2E8B">
            <w:pPr>
              <w:pStyle w:val="a3"/>
              <w:rPr>
                <w:i/>
                <w:iCs/>
                <w:sz w:val="24"/>
                <w:szCs w:val="24"/>
              </w:rPr>
            </w:pPr>
            <w:r w:rsidRPr="002D67EC">
              <w:rPr>
                <w:i/>
                <w:iCs/>
                <w:sz w:val="24"/>
                <w:szCs w:val="24"/>
              </w:rPr>
              <w:t xml:space="preserve">Формулирование целей учебного занятия совместно с учащимися. </w:t>
            </w:r>
          </w:p>
          <w:p w:rsidR="00E3640B" w:rsidRPr="002D67EC" w:rsidRDefault="00E3640B" w:rsidP="008A2E8B">
            <w:pPr>
              <w:pStyle w:val="a3"/>
              <w:rPr>
                <w:i/>
                <w:iCs/>
                <w:sz w:val="24"/>
                <w:szCs w:val="24"/>
              </w:rPr>
            </w:pPr>
            <w:r w:rsidRPr="002D67EC">
              <w:rPr>
                <w:i/>
                <w:iCs/>
                <w:sz w:val="24"/>
                <w:szCs w:val="24"/>
              </w:rPr>
              <w:t xml:space="preserve">Показ социальной и практической значимости изучаемого материала. </w:t>
            </w:r>
          </w:p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i/>
                <w:iCs/>
                <w:sz w:val="24"/>
                <w:szCs w:val="24"/>
              </w:rPr>
              <w:t>Постановка перед учащимися учебной проблемы.</w:t>
            </w:r>
          </w:p>
        </w:tc>
      </w:tr>
      <w:tr w:rsidR="00E3640B" w:rsidTr="008A2E8B">
        <w:tc>
          <w:tcPr>
            <w:tcW w:w="5387" w:type="dxa"/>
          </w:tcPr>
          <w:p w:rsidR="00E3640B" w:rsidRPr="002D67EC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7EC">
              <w:rPr>
                <w:rFonts w:ascii="Times New Roman" w:hAnsi="Times New Roman"/>
                <w:b/>
                <w:bCs/>
                <w:sz w:val="24"/>
                <w:szCs w:val="24"/>
              </w:rPr>
              <w:t>4. Этап изучения нового материала.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Формирование ОУУН</w:t>
            </w:r>
          </w:p>
        </w:tc>
      </w:tr>
      <w:tr w:rsidR="00E3640B" w:rsidTr="008A2E8B">
        <w:tc>
          <w:tcPr>
            <w:tcW w:w="5387" w:type="dxa"/>
          </w:tcPr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40B" w:rsidTr="008A2E8B">
        <w:tc>
          <w:tcPr>
            <w:tcW w:w="5387" w:type="dxa"/>
          </w:tcPr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1. Включение в содержание изучаемого материала субъектного опыта учащихся, создание ситуаций, в которых ученик является субъектом деятельности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Что такое ОРИЕНТИРОВАНИЕ?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Найдите определение понятия в учебнике. Прочтите</w:t>
            </w:r>
            <w:proofErr w:type="gramStart"/>
            <w:r w:rsidRPr="002D67EC">
              <w:rPr>
                <w:sz w:val="24"/>
                <w:szCs w:val="24"/>
              </w:rPr>
              <w:t>.</w:t>
            </w:r>
            <w:proofErr w:type="gramEnd"/>
            <w:r w:rsidRPr="002D67EC">
              <w:rPr>
                <w:sz w:val="24"/>
                <w:szCs w:val="24"/>
              </w:rPr>
              <w:t xml:space="preserve"> (</w:t>
            </w:r>
            <w:proofErr w:type="gramStart"/>
            <w:r w:rsidRPr="002D67EC">
              <w:rPr>
                <w:sz w:val="24"/>
                <w:szCs w:val="24"/>
              </w:rPr>
              <w:t>с</w:t>
            </w:r>
            <w:proofErr w:type="gramEnd"/>
            <w:r w:rsidRPr="002D67EC">
              <w:rPr>
                <w:sz w:val="24"/>
                <w:szCs w:val="24"/>
              </w:rPr>
              <w:t>лайд 1)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Что для этого нужно знать и уметь? (стороны горизонта)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Что вы знаете про стороны горизонта? (</w:t>
            </w:r>
            <w:proofErr w:type="gramStart"/>
            <w:r w:rsidRPr="002D67EC">
              <w:rPr>
                <w:sz w:val="24"/>
                <w:szCs w:val="24"/>
              </w:rPr>
              <w:t>основных</w:t>
            </w:r>
            <w:proofErr w:type="gramEnd"/>
            <w:r w:rsidRPr="002D67EC">
              <w:rPr>
                <w:sz w:val="24"/>
                <w:szCs w:val="24"/>
              </w:rPr>
              <w:t xml:space="preserve"> – 4, промежуточных – 4).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Какой предмет необходим для определения сторон горизонта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компас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lastRenderedPageBreak/>
              <w:t xml:space="preserve"> Сегодня на уроке мы рассмотрим историю и принцип работы компаса, а также способы ориентирования на местности.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i/>
                <w:sz w:val="24"/>
                <w:szCs w:val="24"/>
              </w:rPr>
              <w:t>История создания компаса.</w:t>
            </w:r>
            <w:r w:rsidRPr="002D67EC">
              <w:rPr>
                <w:sz w:val="24"/>
                <w:szCs w:val="24"/>
              </w:rPr>
              <w:t xml:space="preserve">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Простейшее механическое устройство - магнитный компас состоит из магнитной стрелки, которая свободно вращается в горизонтальной плоскости и под действием земного магнетизма устанавливается вдоль магнитного меридиана. Компас служит для ориентирования относительно сторон горизонта.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Магнитный компас изобрели около трех тысяч лет назад китайцы. Он имел вид разливательной ложки из магнетита с тонким черенком и шарообразной, тщательно отполированной выпуклой частью. Этой выпуклой частью ложка устанавливалась на столь же тщательно отполированной медной или деревянной пластине, так что черенок не касался пластины, а свободно висел над ней, и при этом ложка легко могла вращаться вокруг оси своего выпуклого основания. На пластине были нанесены обозначения стран света в виде циклических зодиакальных знаков. Подтолкнув черенок ложки, ее приводили во вращательное движение. Успокоившись, компас указывал черенком (который играл роль магнитной стрелки) точно на юг. Первые компасы использовались для ориентирования в пустыне. В Европе компас появился значительно позже – примерно 600 лет назад. Итальянец </w:t>
            </w:r>
            <w:proofErr w:type="spellStart"/>
            <w:r w:rsidRPr="002D67EC">
              <w:rPr>
                <w:sz w:val="24"/>
                <w:szCs w:val="24"/>
              </w:rPr>
              <w:t>Флавио</w:t>
            </w:r>
            <w:proofErr w:type="spellEnd"/>
            <w:r w:rsidRPr="002D67EC">
              <w:rPr>
                <w:sz w:val="24"/>
                <w:szCs w:val="24"/>
              </w:rPr>
              <w:t xml:space="preserve"> </w:t>
            </w:r>
            <w:proofErr w:type="spellStart"/>
            <w:r w:rsidRPr="002D67EC">
              <w:rPr>
                <w:sz w:val="24"/>
                <w:szCs w:val="24"/>
              </w:rPr>
              <w:t>Джулио</w:t>
            </w:r>
            <w:proofErr w:type="spellEnd"/>
            <w:r w:rsidRPr="002D67EC">
              <w:rPr>
                <w:sz w:val="24"/>
                <w:szCs w:val="24"/>
              </w:rPr>
              <w:t xml:space="preserve"> усовершенствовал компас, снабдив его картушкой (бумажного круга), разделенной на 16 частей (румбов) по четыре на каждую часть света. Это нехитрое приспособление стало большим шагом в усовершенствовании компаса. Позже круг был разделен на 32 </w:t>
            </w:r>
            <w:proofErr w:type="gramStart"/>
            <w:r w:rsidRPr="002D67EC">
              <w:rPr>
                <w:sz w:val="24"/>
                <w:szCs w:val="24"/>
              </w:rPr>
              <w:t>равных</w:t>
            </w:r>
            <w:proofErr w:type="gramEnd"/>
            <w:r w:rsidRPr="002D67EC">
              <w:rPr>
                <w:sz w:val="24"/>
                <w:szCs w:val="24"/>
              </w:rPr>
              <w:t xml:space="preserve"> сектора.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i/>
                <w:sz w:val="24"/>
                <w:szCs w:val="24"/>
              </w:rPr>
              <w:t>Принцип действия.</w:t>
            </w:r>
            <w:r>
              <w:rPr>
                <w:sz w:val="24"/>
                <w:szCs w:val="24"/>
              </w:rPr>
              <w:t xml:space="preserve">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Принцип действия основан на взаимодействии поля постоянных магнитов компаса с горизонтальной составляющей магнитного поля Земли. Свободно вращающаяся магнитная стрелка поворачивается вокруг оси, располагаясь вдоль силовых линий магнитного поля. Таким образом, стрелка всегда указывает одним из концов в направлении линии магнитного поля, которая идет к Северному магнитному полюсу. 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i/>
                <w:sz w:val="24"/>
                <w:szCs w:val="24"/>
              </w:rPr>
              <w:t>Как сориентировать компас.</w:t>
            </w:r>
            <w:r>
              <w:rPr>
                <w:sz w:val="24"/>
                <w:szCs w:val="24"/>
              </w:rPr>
              <w:t xml:space="preserve"> </w:t>
            </w:r>
          </w:p>
          <w:p w:rsidR="00E3640B" w:rsidRPr="0062276D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Прежде чем брать компас в поход, необходимо проверить его исправность. Для этого нужно поднести к стрелке компаса любой металлический предмет и вывести его из </w:t>
            </w:r>
            <w:r w:rsidRPr="002D67EC">
              <w:rPr>
                <w:sz w:val="24"/>
                <w:szCs w:val="24"/>
              </w:rPr>
              <w:lastRenderedPageBreak/>
              <w:t xml:space="preserve">равновесия. Убрав предмет стрелка компаса должна остановиться на том же месте. Если этого не происходит – </w:t>
            </w:r>
            <w:r w:rsidRPr="0062276D">
              <w:rPr>
                <w:sz w:val="24"/>
                <w:szCs w:val="24"/>
              </w:rPr>
              <w:t>компас неисправен!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i/>
                <w:sz w:val="24"/>
                <w:szCs w:val="24"/>
              </w:rPr>
              <w:t>Ориентация компаса:</w:t>
            </w:r>
            <w:r w:rsidRPr="002D67EC"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  <w:r w:rsidRPr="002D67EC">
              <w:rPr>
                <w:sz w:val="24"/>
                <w:szCs w:val="24"/>
              </w:rPr>
              <w:t>Положите компас на горизонтальную поверхность (или ладонь)    Стрелка компаса должна быть неподвижной. После этого поверните корпус компаса так, чтобы буква «С» на шкале компаса совпала с тёмным концом магнитной стрелки.   Компас готов к работе.</w:t>
            </w:r>
          </w:p>
          <w:p w:rsidR="00E3640B" w:rsidRPr="002D67EC" w:rsidRDefault="00E3640B" w:rsidP="008A2E8B">
            <w:pPr>
              <w:pStyle w:val="a3"/>
              <w:rPr>
                <w:b/>
                <w:i/>
                <w:sz w:val="24"/>
                <w:szCs w:val="24"/>
              </w:rPr>
            </w:pPr>
            <w:r w:rsidRPr="002D67EC">
              <w:rPr>
                <w:b/>
                <w:i/>
                <w:sz w:val="24"/>
                <w:szCs w:val="24"/>
              </w:rPr>
              <w:t>Ориентирование без компаса.</w:t>
            </w:r>
            <w:r w:rsidRPr="002D67EC">
              <w:rPr>
                <w:sz w:val="24"/>
                <w:szCs w:val="24"/>
              </w:rPr>
              <w:t xml:space="preserve">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В полдень, в 13 часов, Солнце почти точно находится на Юге, около 7 часов утра – на Востоке, а в 19 часов на Западе.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Для того чтобы найти полдень без часов нужно установить вертикальный шест (</w:t>
            </w:r>
            <w:proofErr w:type="spellStart"/>
            <w:r w:rsidRPr="002D67EC">
              <w:rPr>
                <w:sz w:val="24"/>
                <w:szCs w:val="24"/>
              </w:rPr>
              <w:t>гноном</w:t>
            </w:r>
            <w:proofErr w:type="spellEnd"/>
            <w:r w:rsidRPr="002D67EC">
              <w:rPr>
                <w:sz w:val="24"/>
                <w:szCs w:val="24"/>
              </w:rPr>
              <w:t xml:space="preserve">) и отмечать длину тени. Самая короткая тень говорит о том, что сейчас полдень. </w:t>
            </w:r>
          </w:p>
          <w:p w:rsidR="00E3640B" w:rsidRPr="002D67EC" w:rsidRDefault="00E3640B" w:rsidP="008A2E8B">
            <w:pPr>
              <w:pStyle w:val="a3"/>
              <w:rPr>
                <w:b/>
                <w:sz w:val="24"/>
                <w:szCs w:val="24"/>
              </w:rPr>
            </w:pPr>
            <w:r w:rsidRPr="002D67EC">
              <w:rPr>
                <w:b/>
                <w:sz w:val="24"/>
                <w:szCs w:val="24"/>
              </w:rPr>
              <w:t xml:space="preserve">Ориентирование по часам и солнцу.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Расположить часы горизонтально;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Направить часовую стрелку на Солнце (минутная стрелка во внимание не принимается);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Разделить угол между часовой стрелкой, центром часов и цифрой «1», пополам;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Биссектриса угла указывает направление Север – Юг, причем, до полудня Юг будет находиться справа от Солнца, а после полудня – слева.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sz w:val="24"/>
                <w:szCs w:val="24"/>
              </w:rPr>
              <w:t>Ориентирование по небесным светилам.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Полярная звезда расположена в пределах одного градуса от Северного полюса мира и является точным и надежным ориентиром для определения направления на географический север. Сначала надо найти Большую Медведицу, затем отложить в одну линию с двумя крайними звездами передней стенки ковша Большой Медведицы пять отрезков, равных расстоянию между этими звездами. В конце пятого отрезка находится Полярная звезда. Она расположена на самом конце ковша Малой Медведицы.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Около полуночи по местному времени полная Луна находится на юге.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Растущая Луна находится на западе.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Убывающая Луна – на востоке.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sz w:val="24"/>
                <w:szCs w:val="24"/>
              </w:rPr>
              <w:t>Ориентирование по местным признакам.</w:t>
            </w:r>
            <w:r>
              <w:rPr>
                <w:sz w:val="24"/>
                <w:szCs w:val="24"/>
              </w:rPr>
              <w:t xml:space="preserve">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Просеки в лесных хозяйствах прорубают по линиям Север – Юг, Запад – Восток. Номера кварталов отмечаются на квартальных столбах, выставляемых на пересечении просек. На верхней части наносится номер противоположного квартала. Ребро между двумя соседними гранями с наименьшими цифрами укажет направление на Север.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lastRenderedPageBreak/>
              <w:t xml:space="preserve">Муравьи устраивают свои жилища обычно к Югу от ближайшего дерева, пней и кустов. Южная сторона муравейника более отлогая, а Северная – круче.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Алтари православных церквей и колоколен  обращены к Востоку, колокольни к Западу. Приподнятый край нижней перекладины креста на куполе церкви указывает на Север, а опущенный на Юг.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sz w:val="24"/>
                <w:szCs w:val="24"/>
              </w:rPr>
              <w:t>Ориентирование по звуку.</w:t>
            </w:r>
          </w:p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 xml:space="preserve">Полезно знать, что днем в равнинной местности выстрелы из охотничьего ружья слышны на расстоянии 3-5 км, шум движущегося поезда - до 10 км, грузового автомобиля - 1 км, громкий крик - до 1,5 км, лай собаки - до 3 км. Ночью, когда исчезают многочисленные шумы, слух обостряется и дальность слышимости </w:t>
            </w:r>
            <w:proofErr w:type="gramStart"/>
            <w:r w:rsidRPr="002D67E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2D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40B" w:rsidRPr="002D67EC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звуков  увеличивается в 1,5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Диалогические формы взаимодействия учащихся с учителем.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Учащиеся высказывают свои мнения, опираясь на ранее </w:t>
            </w:r>
            <w:proofErr w:type="gramStart"/>
            <w:r w:rsidRPr="002D67EC">
              <w:rPr>
                <w:sz w:val="24"/>
                <w:szCs w:val="24"/>
              </w:rPr>
              <w:t>изученное</w:t>
            </w:r>
            <w:proofErr w:type="gramEnd"/>
            <w:r w:rsidRPr="002D67EC">
              <w:rPr>
                <w:sz w:val="24"/>
                <w:szCs w:val="24"/>
              </w:rPr>
              <w:t xml:space="preserve">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lastRenderedPageBreak/>
              <w:t>Читают определение понятия в учебнике про себя, хором.</w:t>
            </w: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Высказывания учащихся с опорой на их опыт и знания с последующим  просмотром презентации по каждому признаку в отдельности.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Читают и выбирают пункты, касающиеся данной темы урока.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Работа с компасом. 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 xml:space="preserve">Совместный поиск новых знаний под </w:t>
            </w:r>
            <w:r w:rsidRPr="002D67EC">
              <w:rPr>
                <w:sz w:val="24"/>
                <w:szCs w:val="24"/>
              </w:rPr>
              <w:lastRenderedPageBreak/>
              <w:t xml:space="preserve">руководством учителя. </w:t>
            </w: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Читают и выбирают пункты, касающиеся данной темы урока.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Развитие логического мышления: анализ, синтез, обобщение.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Развитие умения выделять главное.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lastRenderedPageBreak/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Развитие умений формулировать суждение, выражать в слове объективную связь, т.е. приводить восприятие в слово;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формирование умения ориентирования компаса.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Использование алгоритма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Показ социальной и практической значимости изучаемого материала.</w:t>
            </w: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 </w:t>
            </w: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Развитие логического мышления: абстрагирования, т</w:t>
            </w:r>
            <w:proofErr w:type="gramStart"/>
            <w:r w:rsidRPr="002D67EC">
              <w:rPr>
                <w:sz w:val="24"/>
                <w:szCs w:val="24"/>
              </w:rPr>
              <w:t>.е</w:t>
            </w:r>
            <w:proofErr w:type="gramEnd"/>
            <w:r w:rsidRPr="002D67EC">
              <w:rPr>
                <w:sz w:val="24"/>
                <w:szCs w:val="24"/>
              </w:rPr>
              <w:t xml:space="preserve"> расчленения </w:t>
            </w:r>
            <w:r w:rsidRPr="002D67EC">
              <w:rPr>
                <w:sz w:val="24"/>
                <w:szCs w:val="24"/>
              </w:rPr>
              <w:lastRenderedPageBreak/>
              <w:t>существенного и несущественного, обобщения при формулировании понятия.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Формирование навыков работы с учебником.</w:t>
            </w:r>
          </w:p>
          <w:p w:rsidR="00E3640B" w:rsidRDefault="00E3640B" w:rsidP="008A2E8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7EC">
              <w:rPr>
                <w:rFonts w:ascii="Times New Roman" w:hAnsi="Times New Roman"/>
                <w:sz w:val="24"/>
                <w:szCs w:val="24"/>
              </w:rPr>
              <w:t>Развитие коммуникативных отношений.</w:t>
            </w:r>
          </w:p>
        </w:tc>
      </w:tr>
      <w:tr w:rsidR="00E3640B" w:rsidTr="008A2E8B">
        <w:tc>
          <w:tcPr>
            <w:tcW w:w="5387" w:type="dxa"/>
          </w:tcPr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b/>
                <w:bCs/>
                <w:sz w:val="24"/>
                <w:szCs w:val="24"/>
              </w:rPr>
              <w:lastRenderedPageBreak/>
              <w:t>5. Этап закрепления и применения знаний и способов деятельности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</w:tr>
      <w:tr w:rsidR="00E3640B" w:rsidTr="008A2E8B">
        <w:tc>
          <w:tcPr>
            <w:tcW w:w="5387" w:type="dxa"/>
          </w:tcPr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Практическая работа в группах по заданному маршруту в поисках записки.</w:t>
            </w:r>
          </w:p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Объединись в группу</w:t>
            </w:r>
            <w:proofErr w:type="gramStart"/>
            <w:r w:rsidRPr="002D67EC">
              <w:rPr>
                <w:sz w:val="24"/>
                <w:szCs w:val="24"/>
              </w:rPr>
              <w:t xml:space="preserve"> Д</w:t>
            </w:r>
            <w:proofErr w:type="gramEnd"/>
            <w:r w:rsidRPr="002D67EC">
              <w:rPr>
                <w:sz w:val="24"/>
                <w:szCs w:val="24"/>
              </w:rPr>
              <w:t>вигайся по азимуту согласно заданиям на карточке.</w:t>
            </w:r>
          </w:p>
          <w:p w:rsidR="00E3640B" w:rsidRPr="002D67EC" w:rsidRDefault="00E3640B" w:rsidP="008A2E8B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Pr="002D67EC" w:rsidRDefault="00E3640B" w:rsidP="00E3640B">
            <w:pPr>
              <w:pStyle w:val="a3"/>
              <w:rPr>
                <w:sz w:val="24"/>
                <w:szCs w:val="24"/>
                <w:u w:val="single"/>
              </w:rPr>
            </w:pPr>
            <w:r w:rsidRPr="002D67EC">
              <w:rPr>
                <w:sz w:val="24"/>
                <w:szCs w:val="24"/>
                <w:u w:val="single"/>
              </w:rPr>
              <w:t>1 группа</w:t>
            </w:r>
            <w:proofErr w:type="gramStart"/>
            <w:r w:rsidRPr="002D67EC">
              <w:rPr>
                <w:sz w:val="24"/>
                <w:szCs w:val="24"/>
                <w:u w:val="single"/>
              </w:rPr>
              <w:t>.</w:t>
            </w:r>
            <w:proofErr w:type="gramEnd"/>
            <w:r w:rsidRPr="002D67EC">
              <w:rPr>
                <w:sz w:val="24"/>
                <w:szCs w:val="24"/>
                <w:u w:val="single"/>
              </w:rPr>
              <w:t xml:space="preserve">  </w:t>
            </w:r>
            <w:proofErr w:type="gramStart"/>
            <w:r w:rsidRPr="002D67EC">
              <w:rPr>
                <w:sz w:val="24"/>
                <w:szCs w:val="24"/>
                <w:u w:val="single"/>
              </w:rPr>
              <w:t>з</w:t>
            </w:r>
            <w:proofErr w:type="gramEnd"/>
            <w:r w:rsidRPr="002D67EC">
              <w:rPr>
                <w:sz w:val="24"/>
                <w:szCs w:val="24"/>
                <w:u w:val="single"/>
              </w:rPr>
              <w:t>аписка.</w:t>
            </w:r>
          </w:p>
          <w:p w:rsidR="00E3640B" w:rsidRPr="002D67EC" w:rsidRDefault="00E3640B" w:rsidP="00E3640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От двери пройти по азимуту 240° - 7 шагов, затем по азимуту 10 °- 4 шага, 60° – 10 шагов. Найдите клад</w:t>
            </w:r>
          </w:p>
          <w:p w:rsidR="00E3640B" w:rsidRPr="002D67EC" w:rsidRDefault="00E3640B" w:rsidP="00E3640B">
            <w:pPr>
              <w:pStyle w:val="a3"/>
              <w:rPr>
                <w:sz w:val="24"/>
                <w:szCs w:val="24"/>
                <w:u w:val="single"/>
              </w:rPr>
            </w:pPr>
            <w:r w:rsidRPr="002D67EC">
              <w:rPr>
                <w:sz w:val="24"/>
                <w:szCs w:val="24"/>
                <w:u w:val="single"/>
              </w:rPr>
              <w:t>2 группа  записка</w:t>
            </w:r>
          </w:p>
          <w:p w:rsidR="00E3640B" w:rsidRDefault="00E3640B" w:rsidP="00E3640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Ответьте на вопрос: Где могут пригодиться знания, полученные на уроке. (У других групп задания по определению понятий и пересказу видов ориентирования)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</w:tr>
      <w:tr w:rsidR="00E3640B" w:rsidTr="008A2E8B">
        <w:tc>
          <w:tcPr>
            <w:tcW w:w="5387" w:type="dxa"/>
          </w:tcPr>
          <w:p w:rsidR="00E3640B" w:rsidRPr="0062276D" w:rsidRDefault="00E3640B" w:rsidP="008A2E8B">
            <w:pPr>
              <w:pStyle w:val="a3"/>
              <w:rPr>
                <w:b/>
                <w:bCs/>
                <w:sz w:val="24"/>
                <w:szCs w:val="24"/>
              </w:rPr>
            </w:pPr>
            <w:r w:rsidRPr="0062276D">
              <w:rPr>
                <w:b/>
                <w:sz w:val="24"/>
                <w:szCs w:val="24"/>
                <w:lang w:val="en-US"/>
              </w:rPr>
              <w:t>IV</w:t>
            </w:r>
            <w:r w:rsidRPr="0062276D">
              <w:rPr>
                <w:b/>
                <w:sz w:val="24"/>
                <w:szCs w:val="24"/>
              </w:rPr>
              <w:t xml:space="preserve"> Окончание урока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</w:tr>
      <w:tr w:rsidR="00E3640B" w:rsidTr="008A2E8B">
        <w:tc>
          <w:tcPr>
            <w:tcW w:w="5387" w:type="dxa"/>
          </w:tcPr>
          <w:p w:rsidR="00E3640B" w:rsidRPr="00417838" w:rsidRDefault="00E3640B" w:rsidP="008A2E8B">
            <w:pPr>
              <w:pStyle w:val="a3"/>
              <w:rPr>
                <w:sz w:val="24"/>
                <w:szCs w:val="24"/>
              </w:rPr>
            </w:pPr>
            <w:r w:rsidRPr="002D67EC">
              <w:rPr>
                <w:sz w:val="24"/>
                <w:szCs w:val="24"/>
              </w:rPr>
              <w:t>Сегодня Вы познакомились со способами ориентирования на местности различными способами. Умение ориентироваться пригодится Вам в дальнейшей жизни как при походах в лес, та и во время службы в армии.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Pr="002D67EC" w:rsidRDefault="00E3640B" w:rsidP="008A2E8B">
            <w:pPr>
              <w:pStyle w:val="a3"/>
              <w:rPr>
                <w:sz w:val="24"/>
                <w:szCs w:val="24"/>
              </w:rPr>
            </w:pPr>
            <w:proofErr w:type="gramStart"/>
            <w:r w:rsidRPr="002D67EC">
              <w:rPr>
                <w:sz w:val="24"/>
                <w:szCs w:val="24"/>
              </w:rPr>
              <w:t>с</w:t>
            </w:r>
            <w:proofErr w:type="gramEnd"/>
            <w:r w:rsidRPr="002D67EC">
              <w:rPr>
                <w:sz w:val="24"/>
                <w:szCs w:val="24"/>
              </w:rPr>
              <w:t>лушают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</w:tr>
      <w:tr w:rsidR="00E3640B" w:rsidTr="008A2E8B">
        <w:tc>
          <w:tcPr>
            <w:tcW w:w="5387" w:type="dxa"/>
          </w:tcPr>
          <w:p w:rsidR="00E3640B" w:rsidRPr="002D67EC" w:rsidRDefault="00E3640B" w:rsidP="008A2E8B">
            <w:pPr>
              <w:pStyle w:val="a3"/>
              <w:rPr>
                <w:sz w:val="24"/>
                <w:szCs w:val="24"/>
                <w:lang w:val="en-US"/>
              </w:rPr>
            </w:pPr>
            <w:r w:rsidRPr="002D67EC">
              <w:rPr>
                <w:sz w:val="24"/>
                <w:szCs w:val="24"/>
              </w:rPr>
              <w:t>Д/</w:t>
            </w:r>
            <w:proofErr w:type="spellStart"/>
            <w:r w:rsidRPr="002D67EC">
              <w:rPr>
                <w:sz w:val="24"/>
                <w:szCs w:val="24"/>
              </w:rPr>
              <w:t>з</w:t>
            </w:r>
            <w:proofErr w:type="spellEnd"/>
            <w:r w:rsidRPr="002D67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6" w:space="0" w:color="auto"/>
            </w:tcBorders>
          </w:tcPr>
          <w:p w:rsidR="00E3640B" w:rsidRDefault="00E3640B" w:rsidP="008A2E8B">
            <w:pPr>
              <w:pStyle w:val="a3"/>
              <w:rPr>
                <w:sz w:val="24"/>
                <w:szCs w:val="24"/>
              </w:rPr>
            </w:pPr>
          </w:p>
        </w:tc>
      </w:tr>
    </w:tbl>
    <w:p w:rsidR="00E3640B" w:rsidRPr="0016674E" w:rsidRDefault="00E3640B" w:rsidP="00E3640B"/>
    <w:p w:rsidR="00B96731" w:rsidRDefault="00B96731"/>
    <w:sectPr w:rsidR="00B96731" w:rsidSect="00B9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40B"/>
    <w:rsid w:val="00B96731"/>
    <w:rsid w:val="00E3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640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3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364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364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7644</Characters>
  <Application>Microsoft Office Word</Application>
  <DocSecurity>0</DocSecurity>
  <Lines>63</Lines>
  <Paragraphs>17</Paragraphs>
  <ScaleCrop>false</ScaleCrop>
  <Company>Дом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2015-12-15T14:43:00Z</dcterms:created>
  <dcterms:modified xsi:type="dcterms:W3CDTF">2015-12-15T14:45:00Z</dcterms:modified>
</cp:coreProperties>
</file>